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Poppins SemiBold" w:hAnsi="Poppins SemiBold" w:eastAsia="Poppins SemiBold" w:cs="Poppins SemiBold"/>
          <w:b w:val="0"/>
          <w:color w:val="2B3247"/>
          <w:sz w:val="44"/>
        </w:rPr>
        <w:t>Commissioner scoping and handover pack</w:t>
      </w:r>
    </w:p>
    <w:p>
      <w:pPr>
        <w:pStyle w:val="Heading1"/>
      </w:pPr>
      <w:r>
        <w:rPr>
          <w:rFonts w:ascii="Poppins SemiBold" w:hAnsi="Poppins SemiBold" w:eastAsia="Poppins SemiBold" w:cs="Poppins SemiBold"/>
          <w:b w:val="0"/>
          <w:color w:val="2B3247"/>
          <w:sz w:val="30"/>
        </w:rPr>
        <w:t>Scope the service</w:t>
      </w:r>
    </w:p>
    <w:p>
      <w:pPr>
        <w:spacing w:after="100"/>
      </w:pPr>
      <w:r>
        <w:rPr>
          <w:rFonts w:ascii="Poppins" w:hAnsi="Poppins" w:eastAsia="Poppins" w:cs="Poppins"/>
          <w:color w:val="2B3247"/>
        </w:rPr>
        <w:t>Use this editable pack to prepare a discussion about a managed remote clinical pharmacy service. Complete it with aggregate operational information, then agree the scope and working arrangements with the provider. It does not assign contractual responsibilities or authorise clinical work.</w:t>
      </w:r>
    </w:p>
    <w:p>
      <w:pPr>
        <w:spacing w:after="100"/>
      </w:pPr>
      <w:r>
        <w:rPr>
          <w:rFonts w:ascii="Poppins" w:hAnsi="Poppins" w:eastAsia="Poppins" w:cs="Poppins"/>
          <w:color w:val="2B3247"/>
        </w:rPr>
        <w:t>Do not enter patient names, identifiers, record extracts, credentials or clinical case details. Keep patient-level handover actions in the authorised clinical system.</w:t>
      </w:r>
    </w:p>
    <w:p>
      <w:pPr>
        <w:pStyle w:val="Heading2"/>
      </w:pPr>
      <w:r>
        <w:rPr>
          <w:rFonts w:ascii="Poppins SemiBold" w:hAnsi="Poppins SemiBold" w:eastAsia="Poppins SemiBold" w:cs="Poppins SemiBold"/>
          <w:b w:val="0"/>
          <w:color w:val="2B3247"/>
          <w:sz w:val="23"/>
        </w:rPr>
        <w:t>Organisation and priorities</w:t>
      </w:r>
    </w:p>
    <w:p>
      <w:pPr>
        <w:spacing w:after="100"/>
      </w:pPr>
      <w:r>
        <w:rPr>
          <w:rFonts w:ascii="Poppins SemiBold" w:hAnsi="Poppins SemiBold" w:eastAsia="Poppins SemiBold" w:cs="Poppins SemiBold"/>
          <w:b/>
          <w:color w:val="2B3247"/>
        </w:rPr>
        <w:t xml:space="preserve">Organisation and practice or PCN contact: </w:t>
      </w:r>
      <w:r>
        <w:rPr>
          <w:rFonts w:ascii="Poppins" w:hAnsi="Poppins" w:eastAsia="Poppins" w:cs="Poppins"/>
          <w:color w:val="5F677A"/>
        </w:rPr>
        <w:t>[Enter organisation, role and work contact details]</w:t>
      </w:r>
    </w:p>
    <w:p>
      <w:pPr>
        <w:spacing w:after="100"/>
      </w:pPr>
      <w:r>
        <w:rPr>
          <w:rFonts w:ascii="Poppins SemiBold" w:hAnsi="Poppins SemiBold" w:eastAsia="Poppins SemiBold" w:cs="Poppins SemiBold"/>
          <w:b/>
          <w:color w:val="2B3247"/>
        </w:rPr>
        <w:t xml:space="preserve">Decision needed and intended start: </w:t>
      </w:r>
      <w:r>
        <w:rPr>
          <w:rFonts w:ascii="Poppins" w:hAnsi="Poppins" w:eastAsia="Poppins" w:cs="Poppins"/>
          <w:color w:val="5F677A"/>
        </w:rPr>
        <w:t>[Enter the commissioning decision, desired timing and constraints]</w:t>
      </w:r>
    </w:p>
    <w:p>
      <w:pPr>
        <w:spacing w:after="100"/>
      </w:pPr>
      <w:r>
        <w:rPr>
          <w:rFonts w:ascii="Poppins SemiBold" w:hAnsi="Poppins SemiBold" w:eastAsia="Poppins SemiBold" w:cs="Poppins SemiBold"/>
          <w:b/>
          <w:color w:val="2B3247"/>
        </w:rPr>
        <w:t xml:space="preserve">Main priorities: </w:t>
      </w:r>
      <w:r>
        <w:rPr>
          <w:rFonts w:ascii="Poppins" w:hAnsi="Poppins" w:eastAsia="Poppins" w:cs="Poppins"/>
          <w:color w:val="5F677A"/>
        </w:rPr>
        <w:t>[Describe the operational problem and which work must come first]</w:t>
      </w:r>
    </w:p>
    <w:p>
      <w:pPr>
        <w:keepNext/>
        <w:spacing w:before="100" w:after="100"/>
      </w:pPr>
      <w:r>
        <w:rPr>
          <w:rFonts w:ascii="Poppins SemiBold" w:hAnsi="Poppins SemiBold" w:eastAsia="Poppins SemiBold" w:cs="Poppins SemiBold"/>
          <w:b/>
          <w:color w:val="2B3247"/>
        </w:rPr>
        <w:t>Practice and system profile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24"/>
        <w:gridCol w:w="1944"/>
        <w:gridCol w:w="4680"/>
      </w:tblGrid>
      <w:tr>
        <w:trPr>
          <w:tblHeader/>
          <w:cantSplit/>
        </w:trPr>
        <w:tc>
          <w:tcPr>
            <w:tcW w:type="dxa" w:w="3024"/>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Practice or group</w:t>
            </w:r>
          </w:p>
        </w:tc>
        <w:tc>
          <w:tcPr>
            <w:tcW w:type="dxa" w:w="1944"/>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Approximate list size</w:t>
            </w:r>
          </w:p>
        </w:tc>
        <w:tc>
          <w:tcPr>
            <w:tcW w:type="dxa" w:w="4680"/>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Clinical system and access owner</w:t>
            </w:r>
          </w:p>
        </w:tc>
      </w:tr>
      <w:tr>
        <w:trPr>
          <w:cantSplit/>
        </w:trPr>
        <w:tc>
          <w:tcPr>
            <w:tcW w:type="dxa" w:w="3024"/>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practice</w:t>
            </w:r>
          </w:p>
        </w:tc>
        <w:tc>
          <w:tcPr>
            <w:tcW w:type="dxa" w:w="1944"/>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size</w:t>
            </w:r>
          </w:p>
        </w:tc>
        <w:tc>
          <w:tcPr>
            <w:tcW w:type="dxa" w:w="4680"/>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system and owner</w:t>
            </w:r>
          </w:p>
        </w:tc>
      </w:tr>
      <w:tr>
        <w:trPr>
          <w:cantSplit/>
        </w:trPr>
        <w:tc>
          <w:tcPr>
            <w:tcW w:type="dxa" w:w="3024"/>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Enter practice</w:t>
            </w:r>
          </w:p>
        </w:tc>
        <w:tc>
          <w:tcPr>
            <w:tcW w:type="dxa" w:w="1944"/>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Enter size</w:t>
            </w:r>
          </w:p>
        </w:tc>
        <w:tc>
          <w:tcPr>
            <w:tcW w:type="dxa" w:w="4680"/>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Enter system and owner</w:t>
            </w:r>
          </w:p>
        </w:tc>
      </w:tr>
    </w:tbl>
    <w:p>
      <w:pPr>
        <w:spacing w:after="0" w:before="0" w:line="20" w:lineRule="exact"/>
      </w:pPr>
    </w:p>
    <w:p>
      <w:pPr>
        <w:keepNext/>
        <w:pageBreakBefore/>
        <w:spacing w:before="100" w:after="100"/>
      </w:pPr>
      <w:r>
        <w:rPr>
          <w:rFonts w:ascii="Poppins SemiBold" w:hAnsi="Poppins SemiBold" w:eastAsia="Poppins SemiBold" w:cs="Poppins SemiBold"/>
          <w:b/>
          <w:color w:val="2B3247"/>
        </w:rPr>
        <w:t>Workstreams to discuss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880"/>
        <w:gridCol w:w="2376"/>
        <w:gridCol w:w="4392"/>
      </w:tblGrid>
      <w:tr>
        <w:trPr>
          <w:tblHeader/>
          <w:cantSplit/>
        </w:trPr>
        <w:tc>
          <w:tcPr>
            <w:tcW w:type="dxa" w:w="2880"/>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Workstream</w:t>
            </w:r>
          </w:p>
        </w:tc>
        <w:tc>
          <w:tcPr>
            <w:tcW w:type="dxa" w:w="2376"/>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Typical volume and period</w:t>
            </w:r>
          </w:p>
        </w:tc>
        <w:tc>
          <w:tcPr>
            <w:tcW w:type="dxa" w:w="4392"/>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Priority and scope boundaries</w:t>
            </w:r>
          </w:p>
        </w:tc>
      </w:tr>
      <w:tr>
        <w:trPr>
          <w:cantSplit/>
          <w:trHeight w:val="1320" w:hRule="atLeast"/>
        </w:trPr>
        <w:tc>
          <w:tcPr>
            <w:tcW w:type="dxa" w:w="2880"/>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Medicines queries</w:t>
            </w:r>
          </w:p>
        </w:tc>
        <w:tc>
          <w:tcPr>
            <w:tcW w:type="dxa" w:w="2376"/>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aggregate estimate</w:t>
            </w:r>
          </w:p>
        </w:tc>
        <w:tc>
          <w:tcPr>
            <w:tcW w:type="dxa" w:w="4392"/>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priority and exclusions</w:t>
            </w:r>
          </w:p>
        </w:tc>
      </w:tr>
      <w:tr>
        <w:trPr>
          <w:cantSplit/>
          <w:trHeight w:val="1320" w:hRule="atLeast"/>
        </w:trPr>
        <w:tc>
          <w:tcPr>
            <w:tcW w:type="dxa" w:w="2880"/>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Repeat requests</w:t>
            </w:r>
          </w:p>
        </w:tc>
        <w:tc>
          <w:tcPr>
            <w:tcW w:type="dxa" w:w="2376"/>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Enter aggregate estimate</w:t>
            </w:r>
          </w:p>
        </w:tc>
        <w:tc>
          <w:tcPr>
            <w:tcW w:type="dxa" w:w="4392"/>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Clarify preparation and prescribing boundaries</w:t>
            </w:r>
          </w:p>
        </w:tc>
      </w:tr>
      <w:tr>
        <w:trPr>
          <w:cantSplit/>
          <w:trHeight w:val="1320" w:hRule="atLeast"/>
        </w:trPr>
        <w:tc>
          <w:tcPr>
            <w:tcW w:type="dxa" w:w="2880"/>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Discharge correspondence</w:t>
            </w:r>
          </w:p>
        </w:tc>
        <w:tc>
          <w:tcPr>
            <w:tcW w:type="dxa" w:w="2376"/>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aggregate estimate</w:t>
            </w:r>
          </w:p>
        </w:tc>
        <w:tc>
          <w:tcPr>
            <w:tcW w:type="dxa" w:w="4392"/>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Identify medicines-related tasks in scope</w:t>
            </w:r>
          </w:p>
        </w:tc>
      </w:tr>
      <w:tr>
        <w:trPr>
          <w:cantSplit/>
          <w:trHeight w:val="1320" w:hRule="atLeast"/>
        </w:trPr>
        <w:tc>
          <w:tcPr>
            <w:tcW w:type="dxa" w:w="2880"/>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Clinic correspondence</w:t>
            </w:r>
          </w:p>
        </w:tc>
        <w:tc>
          <w:tcPr>
            <w:tcW w:type="dxa" w:w="2376"/>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Enter aggregate estimate</w:t>
            </w:r>
          </w:p>
        </w:tc>
        <w:tc>
          <w:tcPr>
            <w:tcW w:type="dxa" w:w="4392"/>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Identify medicines-related tasks in scope</w:t>
            </w:r>
          </w:p>
        </w:tc>
      </w:tr>
    </w:tbl>
    <w:p>
      <w:pPr>
        <w:spacing w:after="0" w:before="0" w:line="20" w:lineRule="exact"/>
      </w:pPr>
    </w:p>
    <w:p>
      <w:pPr>
        <w:spacing w:after="100"/>
      </w:pPr>
      <w:r>
        <w:rPr>
          <w:rFonts w:ascii="Poppins" w:hAnsi="Poppins" w:eastAsia="Poppins" w:cs="Poppins"/>
          <w:color w:val="2B3247"/>
        </w:rPr>
        <w:t>State whether volumes are measured or estimated. Distinguish an existing backlog from new work arriving each week. Record dependencies such as missing information or decisions needed from another clinician.</w:t>
      </w:r>
    </w:p>
    <w:p>
      <w:pPr>
        <w:spacing w:after="100"/>
      </w:pPr>
      <w:r>
        <w:rPr>
          <w:rFonts w:ascii="Poppins SemiBold" w:hAnsi="Poppins SemiBold" w:eastAsia="Poppins SemiBold" w:cs="Poppins SemiBold"/>
          <w:b/>
          <w:color w:val="2B3247"/>
        </w:rPr>
        <w:t xml:space="preserve">Work excluded from this brief: </w:t>
      </w:r>
      <w:r>
        <w:rPr>
          <w:rFonts w:ascii="Poppins" w:hAnsi="Poppins" w:eastAsia="Poppins" w:cs="Poppins"/>
          <w:color w:val="5F677A"/>
        </w:rPr>
        <w:t>[Enter activities, systems or practices outside the proposed service]</w:t>
      </w:r>
    </w:p>
    <w:p>
      <w:pPr>
        <w:spacing w:before="0" w:after="0" w:line="20" w:lineRule="exact"/>
      </w:pPr>
      <w:r>
        <w:rPr>
          <w:rFonts w:ascii="Poppins" w:hAnsi="Poppins" w:eastAsia="Poppins" w:cs="Poppins"/>
          <w:color w:val="2B3247"/>
          <w:sz w:val="2"/>
        </w:rPr>
      </w:r>
    </w:p>
    <w:p>
      <w:pPr>
        <w:pStyle w:val="Heading1"/>
        <w:pageBreakBefore/>
      </w:pPr>
      <w:r>
        <w:rPr>
          <w:rFonts w:ascii="Poppins SemiBold" w:hAnsi="Poppins SemiBold" w:eastAsia="Poppins SemiBold" w:cs="Poppins SemiBold"/>
          <w:b w:val="0"/>
          <w:color w:val="2B3247"/>
          <w:sz w:val="30"/>
        </w:rPr>
        <w:t>Agree working arrangements</w:t>
      </w:r>
    </w:p>
    <w:p>
      <w:pPr>
        <w:spacing w:after="100"/>
      </w:pPr>
      <w:r>
        <w:rPr>
          <w:rFonts w:ascii="Poppins" w:hAnsi="Poppins" w:eastAsia="Poppins" w:cs="Poppins"/>
          <w:color w:val="2B3247"/>
        </w:rPr>
        <w:t>Use the table to assign owners and record the evidence needed before work starts. An entry here is a discussion prompt, not confirmation that the arrangement is already in place. Each clinician remains professionally accountable for their decisions.</w:t>
      </w:r>
    </w:p>
    <w:p>
      <w:pPr>
        <w:keepNext/>
        <w:spacing w:before="100" w:after="100"/>
      </w:pPr>
      <w:r>
        <w:rPr>
          <w:rFonts w:ascii="Poppins SemiBold" w:hAnsi="Poppins SemiBold" w:eastAsia="Poppins SemiBold" w:cs="Poppins SemiBold"/>
          <w:b/>
          <w:color w:val="2B3247"/>
        </w:rPr>
        <w:t>Responsibilities and readiness to agree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44"/>
        <w:gridCol w:w="5184"/>
        <w:gridCol w:w="2520"/>
      </w:tblGrid>
      <w:tr>
        <w:trPr>
          <w:tblHeader/>
          <w:cantSplit/>
        </w:trPr>
        <w:tc>
          <w:tcPr>
            <w:tcW w:type="dxa" w:w="1944"/>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Topic</w:t>
            </w:r>
          </w:p>
        </w:tc>
        <w:tc>
          <w:tcPr>
            <w:tcW w:type="dxa" w:w="5184"/>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Decision or evidence needed</w:t>
            </w:r>
          </w:p>
        </w:tc>
        <w:tc>
          <w:tcPr>
            <w:tcW w:type="dxa" w:w="2520"/>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Named owner and status</w:t>
            </w:r>
          </w:p>
        </w:tc>
      </w:tr>
      <w:tr>
        <w:trPr>
          <w:cantSplit/>
        </w:trPr>
        <w:tc>
          <w:tcPr>
            <w:tcW w:type="dxa" w:w="1944"/>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Clinical scope</w:t>
            </w:r>
          </w:p>
        </w:tc>
        <w:tc>
          <w:tcPr>
            <w:tcW w:type="dxa" w:w="5184"/>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Protocols, competence boundaries and who makes prescribing decisions</w:t>
            </w:r>
          </w:p>
        </w:tc>
        <w:tc>
          <w:tcPr>
            <w:tcW w:type="dxa" w:w="2520"/>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To agree</w:t>
            </w:r>
          </w:p>
        </w:tc>
      </w:tr>
      <w:tr>
        <w:trPr>
          <w:cantSplit/>
        </w:trPr>
        <w:tc>
          <w:tcPr>
            <w:tcW w:type="dxa" w:w="1944"/>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Escalation</w:t>
            </w:r>
          </w:p>
        </w:tc>
        <w:tc>
          <w:tcPr>
            <w:tcW w:type="dxa" w:w="5184"/>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Receiving clinician, urgent route, response expectations and route if no response</w:t>
            </w:r>
          </w:p>
        </w:tc>
        <w:tc>
          <w:tcPr>
            <w:tcW w:type="dxa" w:w="2520"/>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To agree</w:t>
            </w:r>
          </w:p>
        </w:tc>
      </w:tr>
      <w:tr>
        <w:trPr>
          <w:cantSplit/>
        </w:trPr>
        <w:tc>
          <w:tcPr>
            <w:tcW w:type="dxa" w:w="1944"/>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Access and information governance</w:t>
            </w:r>
          </w:p>
        </w:tc>
        <w:tc>
          <w:tcPr>
            <w:tcW w:type="dxa" w:w="5184"/>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Authorised system access, permissions, secure communication and information-sharing arrangements</w:t>
            </w:r>
          </w:p>
        </w:tc>
        <w:tc>
          <w:tcPr>
            <w:tcW w:type="dxa" w:w="2520"/>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To agree</w:t>
            </w:r>
          </w:p>
        </w:tc>
      </w:tr>
      <w:tr>
        <w:trPr>
          <w:cantSplit/>
        </w:trPr>
        <w:tc>
          <w:tcPr>
            <w:tcW w:type="dxa" w:w="1944"/>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Documentation</w:t>
            </w:r>
          </w:p>
        </w:tc>
        <w:tc>
          <w:tcPr>
            <w:tcW w:type="dxa" w:w="5184"/>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Where actions are recorded and how coding and task closure are defined</w:t>
            </w:r>
          </w:p>
        </w:tc>
        <w:tc>
          <w:tcPr>
            <w:tcW w:type="dxa" w:w="2520"/>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To agree</w:t>
            </w:r>
          </w:p>
        </w:tc>
      </w:tr>
      <w:tr>
        <w:trPr>
          <w:cantSplit/>
        </w:trPr>
        <w:tc>
          <w:tcPr>
            <w:tcW w:type="dxa" w:w="1944"/>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Continuity</w:t>
            </w:r>
          </w:p>
        </w:tc>
        <w:tc>
          <w:tcPr>
            <w:tcW w:type="dxa" w:w="5184"/>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Absence arrangements, outstanding tasks, access failure and the communication route</w:t>
            </w:r>
          </w:p>
        </w:tc>
        <w:tc>
          <w:tcPr>
            <w:tcW w:type="dxa" w:w="2520"/>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To agree</w:t>
            </w:r>
          </w:p>
        </w:tc>
      </w:tr>
      <w:tr>
        <w:trPr>
          <w:cantSplit/>
        </w:trPr>
        <w:tc>
          <w:tcPr>
            <w:tcW w:type="dxa" w:w="1944"/>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Service management</w:t>
            </w:r>
          </w:p>
        </w:tc>
        <w:tc>
          <w:tcPr>
            <w:tcW w:type="dxa" w:w="5184"/>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Provider and practice contacts, issue handling and scope-change process</w:t>
            </w:r>
          </w:p>
        </w:tc>
        <w:tc>
          <w:tcPr>
            <w:tcW w:type="dxa" w:w="2520"/>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To agree</w:t>
            </w:r>
          </w:p>
        </w:tc>
      </w:tr>
    </w:tbl>
    <w:p>
      <w:pPr>
        <w:spacing w:after="0" w:before="0" w:line="20" w:lineRule="exact"/>
      </w:pPr>
    </w:p>
    <w:p>
      <w:pPr>
        <w:pStyle w:val="Heading2"/>
      </w:pPr>
      <w:r>
        <w:rPr>
          <w:rFonts w:ascii="Poppins SemiBold" w:hAnsi="Poppins SemiBold" w:eastAsia="Poppins SemiBold" w:cs="Poppins SemiBold"/>
          <w:b w:val="0"/>
          <w:color w:val="2B3247"/>
          <w:sz w:val="23"/>
        </w:rPr>
        <w:t>Reporting to agree</w:t>
      </w:r>
    </w:p>
    <w:p>
      <w:pPr>
        <w:spacing w:after="100"/>
      </w:pPr>
      <w:r>
        <w:rPr>
          <w:rFonts w:ascii="Poppins SemiBold" w:hAnsi="Poppins SemiBold" w:eastAsia="Poppins SemiBold" w:cs="Poppins SemiBold"/>
          <w:b/>
          <w:color w:val="2B3247"/>
        </w:rPr>
        <w:t xml:space="preserve">Audience and frequency: </w:t>
      </w:r>
      <w:r>
        <w:rPr>
          <w:rFonts w:ascii="Poppins" w:hAnsi="Poppins" w:eastAsia="Poppins" w:cs="Poppins"/>
          <w:color w:val="5F677A"/>
        </w:rPr>
        <w:t>[Enter practice recipients, network recipients and reporting frequency]</w:t>
      </w:r>
    </w:p>
    <w:p>
      <w:pPr>
        <w:spacing w:after="100"/>
      </w:pPr>
      <w:r>
        <w:rPr>
          <w:rFonts w:ascii="Poppins SemiBold" w:hAnsi="Poppins SemiBold" w:eastAsia="Poppins SemiBold" w:cs="Poppins SemiBold"/>
          <w:b/>
          <w:color w:val="2B3247"/>
        </w:rPr>
        <w:t xml:space="preserve">Measures and definitions: </w:t>
      </w:r>
      <w:r>
        <w:rPr>
          <w:rFonts w:ascii="Poppins" w:hAnsi="Poppins" w:eastAsia="Poppins" w:cs="Poppins"/>
          <w:color w:val="5F677A"/>
        </w:rPr>
        <w:t>[Enter activity, open-work status, age bands and counting rules]</w:t>
      </w:r>
    </w:p>
    <w:p>
      <w:pPr>
        <w:spacing w:after="100"/>
      </w:pPr>
      <w:r>
        <w:rPr>
          <w:rFonts w:ascii="Poppins SemiBold" w:hAnsi="Poppins SemiBold" w:eastAsia="Poppins SemiBold" w:cs="Poppins SemiBold"/>
          <w:b/>
          <w:color w:val="2B3247"/>
        </w:rPr>
        <w:t xml:space="preserve">Source and secure delivery: </w:t>
      </w:r>
      <w:r>
        <w:rPr>
          <w:rFonts w:ascii="Poppins" w:hAnsi="Poppins" w:eastAsia="Poppins" w:cs="Poppins"/>
          <w:color w:val="5F677A"/>
        </w:rPr>
        <w:t>[Enter approved source, extraction cut-off, access controls and delivery route]</w:t>
      </w:r>
    </w:p>
    <w:p>
      <w:pPr>
        <w:spacing w:after="100"/>
      </w:pPr>
      <w:r>
        <w:rPr>
          <w:rFonts w:ascii="Poppins" w:hAnsi="Poppins" w:eastAsia="Poppins" w:cs="Poppins"/>
          <w:color w:val="2B3247"/>
        </w:rPr>
        <w:t>Separate completed work from open GP actions. Do not treat a referral, escalation or recorded action as proof of a clinical outcome. Agree how duplicates, transfers and reopened tasks affect totals.</w:t>
      </w:r>
    </w:p>
    <w:p>
      <w:pPr>
        <w:pStyle w:val="Heading2"/>
      </w:pPr>
      <w:r>
        <w:rPr>
          <w:rFonts w:ascii="Poppins SemiBold" w:hAnsi="Poppins SemiBold" w:eastAsia="Poppins SemiBold" w:cs="Poppins SemiBold"/>
          <w:b w:val="0"/>
          <w:color w:val="2B3247"/>
          <w:sz w:val="23"/>
        </w:rPr>
        <w:t>Quote and funding questions</w:t>
      </w:r>
    </w:p>
    <w:p>
      <w:pPr>
        <w:spacing w:after="100"/>
      </w:pPr>
      <w:r>
        <w:rPr>
          <w:rFonts w:ascii="Poppins" w:hAnsi="Poppins" w:eastAsia="Poppins" w:cs="Poppins"/>
          <w:color w:val="2B3247"/>
        </w:rPr>
        <w:t>Ask for the written scope, included work, cover arrangements, reporting, fees, exclusions and change process. Identify any funding route separately and confirm its current eligibility and reimbursement conditions. This pack does not establish funding entitlement or tax treatment.</w:t>
      </w:r>
    </w:p>
    <w:p>
      <w:pPr>
        <w:spacing w:before="0" w:after="0" w:line="20" w:lineRule="exact"/>
      </w:pPr>
      <w:r>
        <w:rPr>
          <w:rFonts w:ascii="Poppins" w:hAnsi="Poppins" w:eastAsia="Poppins" w:cs="Poppins"/>
          <w:color w:val="2B3247"/>
          <w:sz w:val="2"/>
        </w:rPr>
      </w:r>
    </w:p>
    <w:p>
      <w:pPr>
        <w:pStyle w:val="Heading1"/>
        <w:pageBreakBefore/>
      </w:pPr>
      <w:r>
        <w:rPr>
          <w:rFonts w:ascii="Poppins SemiBold" w:hAnsi="Poppins SemiBold" w:eastAsia="Poppins SemiBold" w:cs="Poppins SemiBold"/>
          <w:b w:val="0"/>
          <w:color w:val="2B3247"/>
          <w:sz w:val="30"/>
        </w:rPr>
        <w:t>Prepare handover and the start decision</w:t>
      </w:r>
    </w:p>
    <w:p>
      <w:pPr>
        <w:spacing w:after="100"/>
      </w:pPr>
      <w:r>
        <w:rPr>
          <w:rFonts w:ascii="Poppins" w:hAnsi="Poppins" w:eastAsia="Poppins" w:cs="Poppins"/>
          <w:color w:val="2B3247"/>
        </w:rPr>
        <w:t>Plan the transition with the current and incoming service where relevant. Keep record-level information in approved systems. The clinical start depends on agreed scope, authorised access and readiness; this pack supplies no fixed start date.</w:t>
      </w:r>
    </w:p>
    <w:p>
      <w:pPr>
        <w:pStyle w:val="Heading2"/>
      </w:pPr>
      <w:r>
        <w:rPr>
          <w:rFonts w:ascii="Poppins SemiBold" w:hAnsi="Poppins SemiBold" w:eastAsia="Poppins SemiBold" w:cs="Poppins SemiBold"/>
          <w:b w:val="0"/>
          <w:color w:val="2B3247"/>
          <w:sz w:val="23"/>
        </w:rPr>
        <w:t>Handover checklist</w:t>
      </w:r>
    </w:p>
    <w:p>
      <w:pPr>
        <w:pStyle w:val="ListBullet"/>
      </w:pPr>
      <w:r>
        <w:rPr>
          <w:rFonts w:ascii="Poppins" w:hAnsi="Poppins" w:eastAsia="Poppins" w:cs="Poppins"/>
          <w:color w:val="2B3247"/>
        </w:rPr>
        <w:t>Agree the outgoing service cut-off and incoming service start. Identify any gap or overlap and who handles new work during it.</w:t>
      </w:r>
    </w:p>
    <w:p>
      <w:pPr>
        <w:pStyle w:val="ListBullet"/>
      </w:pPr>
      <w:r>
        <w:rPr>
          <w:rFonts w:ascii="Poppins" w:hAnsi="Poppins" w:eastAsia="Poppins" w:cs="Poppins"/>
          <w:color w:val="2B3247"/>
        </w:rPr>
        <w:t>Locate open tasks, pending decisions and follow-up requirements in the clinical system. Assign who completes each item and how receipt is confirmed.</w:t>
      </w:r>
    </w:p>
    <w:p>
      <w:pPr>
        <w:pStyle w:val="ListBullet"/>
      </w:pPr>
      <w:r>
        <w:rPr>
          <w:rFonts w:ascii="Poppins" w:hAnsi="Poppins" w:eastAsia="Poppins" w:cs="Poppins"/>
          <w:color w:val="2B3247"/>
        </w:rPr>
        <w:t>Confirm access, local protocols, documentation conventions, escalation routes and continuity arrangements with the responsible people.</w:t>
      </w:r>
    </w:p>
    <w:p>
      <w:pPr>
        <w:pStyle w:val="ListBullet"/>
      </w:pPr>
      <w:r>
        <w:rPr>
          <w:rFonts w:ascii="Poppins" w:hAnsi="Poppins" w:eastAsia="Poppins" w:cs="Poppins"/>
          <w:color w:val="2B3247"/>
        </w:rPr>
        <w:t>Tell the practice team how queries are routed. Agree any patient communication required by a change in service.</w:t>
      </w:r>
    </w:p>
    <w:p>
      <w:pPr>
        <w:pStyle w:val="ListBullet"/>
      </w:pPr>
      <w:r>
        <w:rPr>
          <w:rFonts w:ascii="Poppins" w:hAnsi="Poppins" w:eastAsia="Poppins" w:cs="Poppins"/>
          <w:color w:val="2B3247"/>
        </w:rPr>
        <w:t>Check that outstanding work has an owner before the outgoing arrangement ends. Resolve blockers before authorising the affected workstream.</w:t>
      </w:r>
    </w:p>
    <w:p>
      <w:pPr>
        <w:keepNext/>
        <w:spacing w:before="100" w:after="100"/>
      </w:pPr>
      <w:r>
        <w:rPr>
          <w:rFonts w:ascii="Poppins SemiBold" w:hAnsi="Poppins SemiBold" w:eastAsia="Poppins SemiBold" w:cs="Poppins SemiBold"/>
          <w:b/>
          <w:color w:val="2B3247"/>
        </w:rPr>
        <w:t>Outstanding operational decisions without patient detail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320"/>
        <w:gridCol w:w="2160"/>
        <w:gridCol w:w="3168"/>
      </w:tblGrid>
      <w:tr>
        <w:trPr>
          <w:tblHeader/>
          <w:cantSplit/>
        </w:trPr>
        <w:tc>
          <w:tcPr>
            <w:tcW w:type="dxa" w:w="4320"/>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Decision or blocker</w:t>
            </w:r>
          </w:p>
        </w:tc>
        <w:tc>
          <w:tcPr>
            <w:tcW w:type="dxa" w:w="2160"/>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Owner</w:t>
            </w:r>
          </w:p>
        </w:tc>
        <w:tc>
          <w:tcPr>
            <w:tcW w:type="dxa" w:w="3168"/>
            <w:vAlign w:val="center"/>
            <w:tcMar>
              <w:top w:w="60" w:type="dxa"/>
              <w:left w:w="100" w:type="dxa"/>
              <w:bottom w:w="60" w:type="dxa"/>
              <w:right w:w="100" w:type="dxa"/>
            </w:tcMar>
            <w:shd w:fill="2B3247"/>
          </w:tcPr>
          <w:p>
            <w:pPr>
              <w:spacing w:after="40" w:before="40" w:line="240" w:lineRule="auto"/>
            </w:pPr>
            <w:r>
              <w:rPr>
                <w:rFonts w:ascii="Poppins SemiBold" w:hAnsi="Poppins SemiBold" w:eastAsia="Poppins SemiBold" w:cs="Poppins SemiBold"/>
                <w:b w:val="0"/>
                <w:color w:val="FFFFFF"/>
                <w:sz w:val="18"/>
              </w:rPr>
              <w:t>Target date and status</w:t>
            </w:r>
          </w:p>
        </w:tc>
      </w:tr>
      <w:tr>
        <w:trPr>
          <w:cantSplit/>
        </w:trPr>
        <w:tc>
          <w:tcPr>
            <w:tcW w:type="dxa" w:w="4320"/>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decision</w:t>
            </w:r>
          </w:p>
        </w:tc>
        <w:tc>
          <w:tcPr>
            <w:tcW w:type="dxa" w:w="2160"/>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owner</w:t>
            </w:r>
          </w:p>
        </w:tc>
        <w:tc>
          <w:tcPr>
            <w:tcW w:type="dxa" w:w="3168"/>
            <w:vAlign w:val="center"/>
            <w:tcMar>
              <w:top w:w="60" w:type="dxa"/>
              <w:left w:w="100" w:type="dxa"/>
              <w:bottom w:w="60" w:type="dxa"/>
              <w:right w:w="100" w:type="dxa"/>
            </w:tcMar>
            <w:shd w:fill="FFFFFF"/>
          </w:tcPr>
          <w:p>
            <w:pPr>
              <w:spacing w:after="40" w:before="40" w:line="240" w:lineRule="auto"/>
            </w:pPr>
            <w:r>
              <w:rPr>
                <w:rFonts w:ascii="Poppins" w:hAnsi="Poppins" w:eastAsia="Poppins" w:cs="Poppins"/>
                <w:b w:val="0"/>
                <w:color w:val="2B3247"/>
                <w:sz w:val="18"/>
              </w:rPr>
              <w:t>Enter date and status</w:t>
            </w:r>
          </w:p>
        </w:tc>
      </w:tr>
      <w:tr>
        <w:trPr>
          <w:cantSplit/>
        </w:trPr>
        <w:tc>
          <w:tcPr>
            <w:tcW w:type="dxa" w:w="4320"/>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Enter decision</w:t>
            </w:r>
          </w:p>
        </w:tc>
        <w:tc>
          <w:tcPr>
            <w:tcW w:type="dxa" w:w="2160"/>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Enter owner</w:t>
            </w:r>
          </w:p>
        </w:tc>
        <w:tc>
          <w:tcPr>
            <w:tcW w:type="dxa" w:w="3168"/>
            <w:vAlign w:val="center"/>
            <w:tcMar>
              <w:top w:w="60" w:type="dxa"/>
              <w:left w:w="100" w:type="dxa"/>
              <w:bottom w:w="60" w:type="dxa"/>
              <w:right w:w="100" w:type="dxa"/>
            </w:tcMar>
            <w:shd w:fill="E7F5FF"/>
          </w:tcPr>
          <w:p>
            <w:pPr>
              <w:spacing w:after="40" w:before="40" w:line="240" w:lineRule="auto"/>
            </w:pPr>
            <w:r>
              <w:rPr>
                <w:rFonts w:ascii="Poppins" w:hAnsi="Poppins" w:eastAsia="Poppins" w:cs="Poppins"/>
                <w:b w:val="0"/>
                <w:color w:val="2B3247"/>
                <w:sz w:val="18"/>
              </w:rPr>
              <w:t>Enter date and status</w:t>
            </w:r>
          </w:p>
        </w:tc>
      </w:tr>
    </w:tbl>
    <w:p>
      <w:pPr>
        <w:spacing w:after="0" w:before="0" w:line="20" w:lineRule="exact"/>
      </w:pPr>
    </w:p>
    <w:p>
      <w:pPr>
        <w:pStyle w:val="Heading2"/>
      </w:pPr>
      <w:r>
        <w:rPr>
          <w:rFonts w:ascii="Poppins SemiBold" w:hAnsi="Poppins SemiBold" w:eastAsia="Poppins SemiBold" w:cs="Poppins SemiBold"/>
          <w:b w:val="0"/>
          <w:color w:val="2B3247"/>
          <w:sz w:val="23"/>
        </w:rPr>
        <w:t>Start decision</w:t>
      </w:r>
    </w:p>
    <w:p>
      <w:pPr>
        <w:spacing w:after="100"/>
      </w:pPr>
      <w:r>
        <w:rPr>
          <w:rFonts w:ascii="Poppins SemiBold" w:hAnsi="Poppins SemiBold" w:eastAsia="Poppins SemiBold" w:cs="Poppins SemiBold"/>
          <w:b/>
          <w:color w:val="2B3247"/>
        </w:rPr>
        <w:t xml:space="preserve">Scope ready to begin: </w:t>
      </w:r>
      <w:r>
        <w:rPr>
          <w:rFonts w:ascii="Poppins" w:hAnsi="Poppins" w:eastAsia="Poppins" w:cs="Poppins"/>
          <w:color w:val="5F677A"/>
        </w:rPr>
        <w:t>[Enter ready workstreams and any conditions or exclusions]</w:t>
      </w:r>
    </w:p>
    <w:p>
      <w:pPr>
        <w:spacing w:after="100"/>
      </w:pPr>
      <w:r>
        <w:rPr>
          <w:rFonts w:ascii="Poppins SemiBold" w:hAnsi="Poppins SemiBold" w:eastAsia="Poppins SemiBold" w:cs="Poppins SemiBold"/>
          <w:b/>
          <w:color w:val="2B3247"/>
        </w:rPr>
        <w:t xml:space="preserve">People authorising the start: </w:t>
      </w:r>
      <w:r>
        <w:rPr>
          <w:rFonts w:ascii="Poppins" w:hAnsi="Poppins" w:eastAsia="Poppins" w:cs="Poppins"/>
          <w:color w:val="5F677A"/>
        </w:rPr>
        <w:t>[Enter practice or commissioner and provider decision-makers]</w:t>
      </w:r>
    </w:p>
    <w:p>
      <w:pPr>
        <w:spacing w:after="100"/>
      </w:pPr>
      <w:r>
        <w:rPr>
          <w:rFonts w:ascii="Poppins SemiBold" w:hAnsi="Poppins SemiBold" w:eastAsia="Poppins SemiBold" w:cs="Poppins SemiBold"/>
          <w:b/>
          <w:color w:val="2B3247"/>
        </w:rPr>
        <w:t xml:space="preserve">Agreed start and first delivery discussion: </w:t>
      </w:r>
      <w:r>
        <w:rPr>
          <w:rFonts w:ascii="Poppins" w:hAnsi="Poppins" w:eastAsia="Poppins" w:cs="Poppins"/>
          <w:color w:val="5F677A"/>
        </w:rPr>
        <w:t>[Enter agreed dates and the evidence to bring]</w:t>
      </w:r>
    </w:p>
    <w:p>
      <w:pPr>
        <w:spacing w:after="100"/>
      </w:pPr>
      <w:r>
        <w:rPr>
          <w:rFonts w:ascii="Poppins" w:hAnsi="Poppins" w:eastAsia="Poppins" w:cs="Poppins"/>
          <w:color w:val="2B3247"/>
        </w:rPr>
        <w:t>At the first delivery discussion, compare the work delivered with the agreed scope, check open actions and dependencies, and record any agreed changes. Use the same definitions for practice and network reporting.</w:t>
      </w:r>
    </w:p>
    <w:p>
      <w:pPr>
        <w:pStyle w:val="Heading2"/>
      </w:pPr>
      <w:r>
        <w:rPr>
          <w:rFonts w:ascii="Poppins SemiBold" w:hAnsi="Poppins SemiBold" w:eastAsia="Poppins SemiBold" w:cs="Poppins SemiBold"/>
          <w:b w:val="0"/>
          <w:color w:val="2B3247"/>
          <w:sz w:val="23"/>
        </w:rPr>
        <w:t>Related information</w:t>
      </w:r>
    </w:p>
    <w:p>
      <w:pPr>
        <w:spacing w:after="100"/>
      </w:pPr>
      <w:hyperlink r:id="rId11">
        <w:r>
          <w:rPr>
            <w:color w:val="006EB8"/>
            <w:u w:val="single"/>
          </w:rPr>
          <w:t>Changing provider and planning handover</w:t>
        </w:r>
      </w:hyperlink>
    </w:p>
    <w:p>
      <w:pPr>
        <w:spacing w:after="100"/>
      </w:pPr>
      <w:hyperlink r:id="rId12">
        <w:r>
          <w:rPr>
            <w:color w:val="006EB8"/>
            <w:u w:val="single"/>
          </w:rPr>
          <w:t>Managed remote clinical pharmacy service</w:t>
        </w:r>
      </w:hyperlink>
    </w:p>
    <w:p>
      <w:pPr>
        <w:spacing w:after="100"/>
      </w:pPr>
      <w:hyperlink r:id="rId13">
        <w:r>
          <w:rPr>
            <w:color w:val="006EB8"/>
            <w:u w:val="single"/>
          </w:rPr>
          <w:t>Clinical governance and data security</w:t>
        </w:r>
      </w:hyperlink>
    </w:p>
    <w:sectPr w:rsidR="00FC693F" w:rsidRPr="0006063C" w:rsidSect="00034616">
      <w:headerReference w:type="default" r:id="rId9"/>
      <w:footerReference w:type="default" r:id="rId10"/>
      <w:pgSz w:w="12240" w:h="15840"/>
      <w:pgMar w:top="1469" w:right="936" w:bottom="936" w:left="936"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oppins">
    <w:embedRegular r:id="rIdVPFont1" w:fontKey="{57D9FDB3-32FA-5E16-A52E-827000EA7A14}" w:subsetted="false"/>
    <w:embedBold r:id="rIdVPFont2" w:fontKey="{6D9196BC-F131-5006-BBF0-AFD8961CEFCF}" w:subsetted="false"/>
  </w:font>
  <w:font w:name="Poppins SemiBold">
    <w:embedRegular r:id="rIdVPFont3" w:fontKey="{2C2620B1-CF28-56E7-9A68-F8368CB14E04}"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68" w:val="right"/>
      </w:tabs>
      <w:jc w:val="left"/>
      <w:pBdr>
        <w:top w:val="single" w:sz="8" w:color="0496FF" w:space="8"/>
      </w:pBdr>
    </w:pPr>
    <w:r>
      <w:rPr>
        <w:rFonts w:ascii="Poppins" w:hAnsi="Poppins" w:eastAsia="Poppins" w:cs="Poppins"/>
        <w:color w:val="777980"/>
        <w:sz w:val="16"/>
      </w:rPr>
      <w:t>virtualpharmacist.co.uk</w:t>
    </w:r>
    <w:r>
      <w:rPr>
        <w:rFonts w:ascii="Poppins" w:hAnsi="Poppins" w:eastAsia="Poppins" w:cs="Poppins"/>
        <w:color w:val="777980"/>
        <w:sz w:val="16"/>
      </w:rPr>
      <w:tab/>
      <w:t xml:space="preserve">No patient data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368" w:val="right"/>
      </w:tabs>
      <w:spacing w:after="0"/>
    </w:pPr>
    <w:r>
      <w:drawing>
        <wp:inline xmlns:a="http://schemas.openxmlformats.org/drawingml/2006/main" xmlns:pic="http://schemas.openxmlformats.org/drawingml/2006/picture">
          <wp:extent cx="1645920" cy="558227"/>
          <wp:docPr id="1" name="Picture 1" descr="Virtual Pharmacist logo"/>
          <wp:cNvGraphicFramePr>
            <a:graphicFrameLocks noChangeAspect="1"/>
          </wp:cNvGraphicFramePr>
          <a:graphic>
            <a:graphicData uri="http://schemas.openxmlformats.org/drawingml/2006/picture">
              <pic:pic>
                <pic:nvPicPr>
                  <pic:cNvPr id="0" name="vp-logo.png"/>
                  <pic:cNvPicPr/>
                </pic:nvPicPr>
                <pic:blipFill>
                  <a:blip r:embed="rId1"/>
                  <a:stretch>
                    <a:fillRect/>
                  </a:stretch>
                </pic:blipFill>
                <pic:spPr>
                  <a:xfrm>
                    <a:off x="0" y="0"/>
                    <a:ext cx="1645920" cy="558227"/>
                  </a:xfrm>
                  <a:prstGeom prst="rect"/>
                </pic:spPr>
              </pic:pic>
            </a:graphicData>
          </a:graphic>
        </wp:inline>
      </w:drawing>
    </w:r>
    <w:r>
      <w:rPr>
        <w:rFonts w:ascii="Poppins SemiBold" w:hAnsi="Poppins SemiBold" w:eastAsia="Poppins SemiBold" w:cs="Poppins SemiBold"/>
        <w:color w:val="2B3247"/>
        <w:sz w:val="16"/>
      </w:rPr>
      <w:tab/>
      <w:t>WORKING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val="tru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Poppins" w:hAnsi="Poppins"/>
      <w:color w:val="2B324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Poppins SemiBold" w:hAnsi="Poppins SemiBold"/>
      <w:b w:val="0"/>
      <w:bCs/>
      <w:color w:val="2B3247"/>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Poppins SemiBold" w:hAnsi="Poppins SemiBold"/>
      <w:b w:val="0"/>
      <w:bCs/>
      <w:color w:val="2B3247"/>
      <w:sz w:val="23"/>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Poppins SemiBold" w:hAnsi="Poppins SemiBold"/>
      <w:b w:val="0"/>
      <w:bCs/>
      <w:color w:val="2B324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Poppins SemiBold" w:hAnsi="Poppins SemiBold"/>
      <w:b w:val="0"/>
      <w:color w:val="2B324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Poppins" w:hAnsi="Poppins"/>
      <w:i/>
      <w:iCs/>
      <w:color w:val="2B3247"/>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Poppins" w:hAnsi="Poppins"/>
      <w:color w:val="2B3247"/>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virtualpharmacist.co.uk/resources/change-clinical-pharmacist-provider/" TargetMode="External"/><Relationship Id="rId12" Type="http://schemas.openxmlformats.org/officeDocument/2006/relationships/hyperlink" Target="https://virtualpharmacist.co.uk/outsourced-clinical-pharmacist-services/" TargetMode="External"/><Relationship Id="rId13" Type="http://schemas.openxmlformats.org/officeDocument/2006/relationships/hyperlink" Target="https://virtualpharmacist.co.uk/clinical-governance-and-data-security/" TargetMode="External"/></Relationships>
</file>

<file path=word/_rels/fontTable.xml.rels><?xml version='1.0' encoding='UTF-8' standalone='yes'?>
<Relationships xmlns="http://schemas.openxmlformats.org/package/2006/relationships"><Relationship Id="rIdVPFont1" Type="http://schemas.openxmlformats.org/officeDocument/2006/relationships/font" Target="fonts/vp-font-1.odttf"/><Relationship Id="rIdVPFont2" Type="http://schemas.openxmlformats.org/officeDocument/2006/relationships/font" Target="fonts/vp-font-2.odttf"/><Relationship Id="rIdVPFont3" Type="http://schemas.openxmlformats.org/officeDocument/2006/relationships/font" Target="fonts/vp-font-3.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Commissioner scoping and handover pack</dc:title>
  <dc:subject>Working template for managed remote clinical pharmacy commissioning</dc:subject>
  <dc:creator>Virtual Pharmacist</dc:creator>
  <cp:keywords/>
  <dc:description>generated by python-docx</dc:description>
  <cp:lastModifiedBy>Virtual Pharmacist</cp:lastModifiedBy>
  <cp:revision>1</cp:revision>
  <dcterms:created xsi:type="dcterms:W3CDTF">2013-12-23T23:15:00Z</dcterms:created>
  <dcterms:modified xsi:type="dcterms:W3CDTF">2013-12-23T23:15:00Z</dcterms:modified>
  <cp:category/>
</cp:coreProperties>
</file>